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Georgia" w:cs="Georgia" w:eastAsia="Georgia" w:hAnsi="Georgia"/>
          <w:b/>
          <w:bCs/>
          <w:i w:val="false"/>
          <w:iCs w:val="false"/>
          <w:color w:val="B5852F"/>
          <w:sz w:val="16"/>
          <w:szCs w:val="16"/>
        </w:rPr>
        <w:t xml:space="preserve">OPERATION CITIZEN · CL-003 / CL-007 · ACCOUNTING RULE · 7 SEPTEMBER 2026</w:t>
      </w:r>
    </w:p>
    <w:p>
      <w:pPr>
        <w:spacing w:after="40"/>
      </w:pPr>
      <w:r>
        <w:rPr>
          <w:rFonts w:ascii="Georgia" w:cs="Georgia" w:eastAsia="Georgia" w:hAnsi="Georgia"/>
          <w:b/>
          <w:bCs/>
          <w:color w:val="356B4F"/>
          <w:sz w:val="29"/>
          <w:szCs w:val="29"/>
        </w:rPr>
        <w:t xml:space="preserve">What Was Swept Into the Appropriations Bill</w:t>
      </w:r>
    </w:p>
    <w:p>
      <w:pPr>
        <w:spacing w:after="180" w:before="0"/>
      </w:pPr>
      <w:r>
        <w:rPr>
          <w:rFonts w:ascii="Georgia" w:cs="Georgia" w:eastAsia="Georgia" w:hAnsi="Georgia"/>
          <w:b w:val="false"/>
          <w:bCs w:val="false"/>
          <w:i/>
          <w:iCs/>
          <w:color w:val="5A5A5A"/>
          <w:sz w:val="19"/>
          <w:szCs w:val="19"/>
        </w:rPr>
        <w:t xml:space="preserve">You asked how to account for provisions that were once bills and got swept into an appropriations act. Tracing them back answers the earlier question too. The citizen column is not rising because citizens are winning. It is rising because committees of jurisdiction will not make citizen policy permanent, so the same policy is passed three times and counted three times.</w:t>
      </w:r>
    </w:p>
    <w:p>
      <w:pPr>
        <w:pStyle w:val="Heading1"/>
        <w:spacing w:after="110" w:before="320"/>
      </w:pPr>
      <w:r>
        <w:rPr>
          <w:rFonts w:ascii="Georgia" w:cs="Georgia" w:eastAsia="Georgia" w:hAnsi="Georgia"/>
          <w:b/>
          <w:bCs/>
          <w:color w:val="356B4F"/>
          <w:sz w:val="25"/>
          <w:szCs w:val="25"/>
        </w:rPr>
        <w:t xml:space="preserve">First: your point about the CRAs</w:t>
      </w:r>
    </w:p>
    <w:p>
      <w:pPr>
        <w:spacing w:after="110" w:before="0"/>
      </w:pPr>
      <w:r>
        <w:rPr>
          <w:rFonts w:ascii="Georgia" w:cs="Georgia" w:eastAsia="Georgia" w:hAnsi="Georgia"/>
          <w:b/>
          <w:bCs/>
          <w:i w:val="false"/>
          <w:iCs w:val="false"/>
          <w:color w:val="1A1A1A"/>
          <w:sz w:val="21"/>
          <w:szCs w:val="21"/>
        </w:rPr>
        <w:t xml:space="preserve">You said twenty CRAs inside the appropriations bill would do it. That is exactly the arithmetic.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100"/>
        <w:gridCol w:w="3260"/>
      </w:tblGrid>
      <w:tr>
        <w:tc>
          <w:tcPr>
            <w:tcW w:type="dxa" w:w="6100"/>
            <w:shd w:fill="EDEFEA" w:color="auto" w:val="clear"/>
            <w:tcMar>
              <w:top w:type="dxa" w:w="44"/>
              <w:left w:type="dxa" w:w="84"/>
              <w:bottom w:type="dxa" w:w="44"/>
              <w:right w:type="dxa" w:w="84"/>
            </w:tcMar>
          </w:tcPr>
          <w:p>
            <w:pPr>
              <w:spacing w:after="0"/>
            </w:pPr>
            <w:r>
              <w:rPr>
                <w:rFonts w:ascii="Georgia" w:cs="Georgia" w:eastAsia="Georgia" w:hAnsi="Georgia"/>
                <w:b/>
                <w:bCs/>
                <w:i w:val="false"/>
                <w:iCs w:val="false"/>
                <w:color w:val="1A1A1A"/>
                <w:sz w:val="15"/>
                <w:szCs w:val="15"/>
              </w:rPr>
              <w:t xml:space="preserve">Rules killed by the 119th Congress</w:t>
            </w:r>
          </w:p>
        </w:tc>
        <w:tc>
          <w:tcPr>
            <w:tcW w:type="dxa" w:w="3260"/>
            <w:shd w:fill="EDEFEA" w:color="auto" w:val="clear"/>
            <w:tcMar>
              <w:top w:type="dxa" w:w="44"/>
              <w:left w:type="dxa" w:w="84"/>
              <w:bottom w:type="dxa" w:w="44"/>
              <w:right w:type="dxa" w:w="84"/>
            </w:tcMar>
          </w:tcPr>
          <w:p>
            <w:pPr>
              <w:spacing w:after="0"/>
            </w:pPr>
            <w:r>
              <w:rPr>
                <w:rFonts w:ascii="Georgia" w:cs="Georgia" w:eastAsia="Georgia" w:hAnsi="Georgia"/>
                <w:b/>
                <w:bCs/>
                <w:i w:val="false"/>
                <w:iCs w:val="false"/>
                <w:color w:val="1A1A1A"/>
                <w:sz w:val="15"/>
                <w:szCs w:val="15"/>
              </w:rPr>
              <w:t xml:space="preserve">Count</w:t>
            </w:r>
          </w:p>
        </w:tc>
      </w:tr>
      <w:tr>
        <w:tc>
          <w:tcPr>
            <w:tcW w:type="dxa" w:w="61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Congressional Review Act disapprovals enacted as their own public laws</w:t>
            </w:r>
          </w:p>
        </w:tc>
        <w:tc>
          <w:tcPr>
            <w:tcW w:type="dxa" w:w="326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22</w:t>
            </w:r>
          </w:p>
        </w:tc>
      </w:tr>
      <w:tr>
        <w:tc>
          <w:tcPr>
            <w:tcW w:type="dxa" w:w="61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Rule-kills buried in appropriations limitation riders</w:t>
            </w:r>
          </w:p>
        </w:tc>
        <w:tc>
          <w:tcPr>
            <w:tcW w:type="dxa" w:w="326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20</w:t>
            </w:r>
          </w:p>
        </w:tc>
      </w:tr>
      <w:tr>
        <w:tc>
          <w:tcPr>
            <w:tcW w:type="dxa" w:w="61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Total rules killed</w:t>
            </w:r>
          </w:p>
        </w:tc>
        <w:tc>
          <w:tcPr>
            <w:tcW w:type="dxa" w:w="326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42</w:t>
            </w:r>
          </w:p>
        </w:tc>
      </w:tr>
      <w:tr>
        <w:tc>
          <w:tcPr>
            <w:tcW w:type="dxa" w:w="61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Share the enacted-law list can see</w:t>
            </w:r>
          </w:p>
        </w:tc>
        <w:tc>
          <w:tcPr>
            <w:tcW w:type="dxa" w:w="326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52%</w:t>
            </w:r>
          </w:p>
        </w:tc>
      </w:tr>
    </w:tbl>
    <w:p>
      <w:pPr>
        <w:spacing w:after="110" w:before="120"/>
      </w:pPr>
      <w:r>
        <w:rPr>
          <w:rFonts w:ascii="Georgia" w:cs="Georgia" w:eastAsia="Georgia" w:hAnsi="Georgia"/>
          <w:b/>
          <w:bCs/>
          <w:i w:val="false"/>
          <w:iCs w:val="false"/>
          <w:color w:val="1A1A1A"/>
          <w:sz w:val="20"/>
          <w:szCs w:val="20"/>
        </w:rPr>
        <w:t xml:space="preserve">The law list shows half the deregulation. The other half is inside six line items that the list codes as government administration.</w:t>
      </w:r>
    </w:p>
    <w:p>
      <w:pPr>
        <w:pStyle w:val="Heading1"/>
        <w:spacing w:after="110" w:before="320"/>
      </w:pPr>
      <w:r>
        <w:rPr>
          <w:rFonts w:ascii="Georgia" w:cs="Georgia" w:eastAsia="Georgia" w:hAnsi="Georgia"/>
          <w:b/>
          <w:bCs/>
          <w:color w:val="356B4F"/>
          <w:sz w:val="25"/>
          <w:szCs w:val="25"/>
        </w:rPr>
        <w:t xml:space="preserve">The six vehicles carry 298 provisions</w:t>
      </w:r>
    </w:p>
    <w:p>
      <w:pPr>
        <w:spacing w:after="110" w:before="0"/>
      </w:pPr>
      <w:r>
        <w:rPr>
          <w:rFonts w:ascii="Georgia" w:cs="Georgia" w:eastAsia="Georgia" w:hAnsi="Georgia"/>
          <w:b w:val="false"/>
          <w:bCs w:val="false"/>
          <w:i w:val="false"/>
          <w:iCs w:val="false"/>
          <w:color w:val="1A1A1A"/>
          <w:sz w:val="20"/>
          <w:szCs w:val="20"/>
        </w:rPr>
        <w:t xml:space="preserve">The 103 enacted public laws include six appropriations acts. Counted as the list counts them, those six are six items. Opened up, they contain 298 separately coded provisions — 153 extender and authorising sections and 145 substantive limitation riders.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400"/>
        <w:gridCol w:w="1700"/>
        <w:gridCol w:w="1700"/>
        <w:gridCol w:w="1560"/>
      </w:tblGrid>
      <w:tr>
        <w:tc>
          <w:tcPr>
            <w:tcW w:type="dxa" w:w="4400"/>
            <w:shd w:fill="EDEFEA" w:color="auto" w:val="clear"/>
            <w:tcMar>
              <w:top w:type="dxa" w:w="44"/>
              <w:left w:type="dxa" w:w="84"/>
              <w:bottom w:type="dxa" w:w="44"/>
              <w:right w:type="dxa" w:w="84"/>
            </w:tcMar>
          </w:tcPr>
          <w:p>
            <w:pPr>
              <w:spacing w:after="0"/>
            </w:pPr>
            <w:r>
              <w:rPr>
                <w:rFonts w:ascii="Georgia" w:cs="Georgia" w:eastAsia="Georgia" w:hAnsi="Georgia"/>
                <w:b/>
                <w:bCs/>
                <w:i w:val="false"/>
                <w:iCs w:val="false"/>
                <w:color w:val="1A1A1A"/>
                <w:sz w:val="15"/>
                <w:szCs w:val="15"/>
              </w:rPr>
              <w:t xml:space="preserve"/>
            </w:r>
          </w:p>
        </w:tc>
        <w:tc>
          <w:tcPr>
            <w:tcW w:type="dxa" w:w="1700"/>
            <w:shd w:fill="EDEFEA" w:color="auto" w:val="clear"/>
            <w:tcMar>
              <w:top w:type="dxa" w:w="44"/>
              <w:left w:type="dxa" w:w="84"/>
              <w:bottom w:type="dxa" w:w="44"/>
              <w:right w:type="dxa" w:w="84"/>
            </w:tcMar>
          </w:tcPr>
          <w:p>
            <w:pPr>
              <w:spacing w:after="0"/>
            </w:pPr>
            <w:r>
              <w:rPr>
                <w:rFonts w:ascii="Georgia" w:cs="Georgia" w:eastAsia="Georgia" w:hAnsi="Georgia"/>
                <w:b/>
                <w:bCs/>
                <w:i w:val="false"/>
                <w:iCs w:val="false"/>
                <w:color w:val="1A1A1A"/>
                <w:sz w:val="15"/>
                <w:szCs w:val="15"/>
              </w:rPr>
              <w:t xml:space="preserve">Capital</w:t>
            </w:r>
          </w:p>
        </w:tc>
        <w:tc>
          <w:tcPr>
            <w:tcW w:type="dxa" w:w="1700"/>
            <w:shd w:fill="EDEFEA" w:color="auto" w:val="clear"/>
            <w:tcMar>
              <w:top w:type="dxa" w:w="44"/>
              <w:left w:type="dxa" w:w="84"/>
              <w:bottom w:type="dxa" w:w="44"/>
              <w:right w:type="dxa" w:w="84"/>
            </w:tcMar>
          </w:tcPr>
          <w:p>
            <w:pPr>
              <w:spacing w:after="0"/>
            </w:pPr>
            <w:r>
              <w:rPr>
                <w:rFonts w:ascii="Georgia" w:cs="Georgia" w:eastAsia="Georgia" w:hAnsi="Georgia"/>
                <w:b/>
                <w:bCs/>
                <w:i w:val="false"/>
                <w:iCs w:val="false"/>
                <w:color w:val="1A1A1A"/>
                <w:sz w:val="15"/>
                <w:szCs w:val="15"/>
              </w:rPr>
              <w:t xml:space="preserve">Citizen</w:t>
            </w:r>
          </w:p>
        </w:tc>
        <w:tc>
          <w:tcPr>
            <w:tcW w:type="dxa" w:w="1560"/>
            <w:shd w:fill="EDEFEA" w:color="auto" w:val="clear"/>
            <w:tcMar>
              <w:top w:type="dxa" w:w="44"/>
              <w:left w:type="dxa" w:w="84"/>
              <w:bottom w:type="dxa" w:w="44"/>
              <w:right w:type="dxa" w:w="84"/>
            </w:tcMar>
          </w:tcPr>
          <w:p>
            <w:pPr>
              <w:spacing w:after="0"/>
            </w:pPr>
            <w:r>
              <w:rPr>
                <w:rFonts w:ascii="Georgia" w:cs="Georgia" w:eastAsia="Georgia" w:hAnsi="Georgia"/>
                <w:b/>
                <w:bCs/>
                <w:i w:val="false"/>
                <w:iCs w:val="false"/>
                <w:color w:val="1A1A1A"/>
                <w:sz w:val="15"/>
                <w:szCs w:val="15"/>
              </w:rPr>
              <w:t xml:space="preserve">Government</w:t>
            </w:r>
          </w:p>
        </w:tc>
      </w:tr>
      <w:tr>
        <w:tc>
          <w:tcPr>
            <w:tcW w:type="dxa" w:w="44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97 standalone laws</w:t>
            </w:r>
          </w:p>
        </w:tc>
        <w:tc>
          <w:tcPr>
            <w:tcW w:type="dxa" w:w="17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29</w:t>
            </w:r>
          </w:p>
        </w:tc>
        <w:tc>
          <w:tcPr>
            <w:tcW w:type="dxa" w:w="17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37</w:t>
            </w:r>
          </w:p>
        </w:tc>
        <w:tc>
          <w:tcPr>
            <w:tcW w:type="dxa" w:w="156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27</w:t>
            </w:r>
          </w:p>
        </w:tc>
      </w:tr>
      <w:tr>
        <w:tc>
          <w:tcPr>
            <w:tcW w:type="dxa" w:w="44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153 extender provisions inside the vehicles</w:t>
            </w:r>
          </w:p>
        </w:tc>
        <w:tc>
          <w:tcPr>
            <w:tcW w:type="dxa" w:w="17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26</w:t>
            </w:r>
          </w:p>
        </w:tc>
        <w:tc>
          <w:tcPr>
            <w:tcW w:type="dxa" w:w="17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62</w:t>
            </w:r>
          </w:p>
        </w:tc>
        <w:tc>
          <w:tcPr>
            <w:tcW w:type="dxa" w:w="156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63</w:t>
            </w:r>
          </w:p>
        </w:tc>
      </w:tr>
      <w:tr>
        <w:tc>
          <w:tcPr>
            <w:tcW w:type="dxa" w:w="44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145 substantive riders inside the vehicles</w:t>
            </w:r>
          </w:p>
        </w:tc>
        <w:tc>
          <w:tcPr>
            <w:tcW w:type="dxa" w:w="17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35</w:t>
            </w:r>
          </w:p>
        </w:tc>
        <w:tc>
          <w:tcPr>
            <w:tcW w:type="dxa" w:w="17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26</w:t>
            </w:r>
          </w:p>
        </w:tc>
        <w:tc>
          <w:tcPr>
            <w:tcW w:type="dxa" w:w="156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82</w:t>
            </w:r>
          </w:p>
        </w:tc>
      </w:tr>
      <w:tr>
        <w:tc>
          <w:tcPr>
            <w:tcW w:type="dxa" w:w="44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All of it</w:t>
            </w:r>
          </w:p>
        </w:tc>
        <w:tc>
          <w:tcPr>
            <w:tcW w:type="dxa" w:w="17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90</w:t>
            </w:r>
          </w:p>
        </w:tc>
        <w:tc>
          <w:tcPr>
            <w:tcW w:type="dxa" w:w="17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125</w:t>
            </w:r>
          </w:p>
        </w:tc>
        <w:tc>
          <w:tcPr>
            <w:tcW w:type="dxa" w:w="156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172</w:t>
            </w:r>
          </w:p>
        </w:tc>
      </w:tr>
    </w:tbl>
    <w:p>
      <w:pPr>
        <w:spacing w:after="110" w:before="120"/>
      </w:pPr>
      <w:r>
        <w:rPr>
          <w:rFonts w:ascii="Georgia" w:cs="Georgia" w:eastAsia="Georgia" w:hAnsi="Georgia"/>
          <w:b/>
          <w:bCs/>
          <w:i w:val="false"/>
          <w:iCs w:val="false"/>
          <w:color w:val="1A1A1A"/>
          <w:sz w:val="20"/>
          <w:szCs w:val="20"/>
        </w:rPr>
        <w:t xml:space="preserve">Six line items carry more capital-serving actions than the other ninety-seven laws combined — 61 against 29.</w:t>
      </w:r>
    </w:p>
    <w:p>
      <w:pPr>
        <w:pStyle w:val="Heading1"/>
        <w:spacing w:after="110" w:before="320"/>
      </w:pPr>
      <w:r>
        <w:rPr>
          <w:rFonts w:ascii="Georgia" w:cs="Georgia" w:eastAsia="Georgia" w:hAnsi="Georgia"/>
          <w:b/>
          <w:bCs/>
          <w:color w:val="356B4F"/>
          <w:sz w:val="25"/>
          <w:szCs w:val="25"/>
        </w:rPr>
        <w:t xml:space="preserve">Where the provisions came from — the trace</w:t>
      </w:r>
    </w:p>
    <w:p>
      <w:pPr>
        <w:spacing w:after="110" w:before="0"/>
      </w:pPr>
      <w:r>
        <w:rPr>
          <w:rFonts w:ascii="Georgia" w:cs="Georgia" w:eastAsia="Georgia" w:hAnsi="Georgia"/>
          <w:b w:val="false"/>
          <w:bCs w:val="false"/>
          <w:i w:val="false"/>
          <w:iCs w:val="false"/>
          <w:color w:val="1A1A1A"/>
          <w:sz w:val="20"/>
          <w:szCs w:val="20"/>
        </w:rPr>
        <w:t xml:space="preserve">For each provision I searched the full BILLSTATUS corpus of the 119th Congress — 16,090 measures, titles, CRS summaries, committee referrals and every action — for the standalone bill that would have done the same thing.</w:t>
      </w:r>
    </w:p>
    <w:p>
      <w:pPr>
        <w:spacing w:after="60" w:before="210"/>
      </w:pPr>
      <w:r>
        <w:rPr>
          <w:rFonts w:ascii="Georgia" w:cs="Georgia" w:eastAsia="Georgia" w:hAnsi="Georgia"/>
          <w:b/>
          <w:bCs/>
          <w:color w:val="B5852F"/>
          <w:sz w:val="19"/>
          <w:szCs w:val="19"/>
        </w:rPr>
        <w:t xml:space="preserve">The rule-kills: mostly there was never a bill at all</w:t>
      </w:r>
    </w:p>
    <w:p>
      <w:pPr>
        <w:spacing w:after="110" w:before="0"/>
      </w:pPr>
      <w:r>
        <w:rPr>
          <w:rFonts w:ascii="Georgia" w:cs="Georgia" w:eastAsia="Georgia" w:hAnsi="Georgia"/>
          <w:b w:val="false"/>
          <w:bCs w:val="false"/>
          <w:i w:val="false"/>
          <w:iCs w:val="false"/>
          <w:color w:val="1A1A1A"/>
          <w:sz w:val="20"/>
          <w:szCs w:val="20"/>
        </w:rPr>
        <w:t xml:space="preserve">For the SNAP retailer stocking standard, the FDA produce safety rule and the Listeria rules, no standalone measure exists in the entire Congress. Nobody introduced a bill to kill them. There was no referral, no committee, no hearing, no vote on the substance — the kill was drafted straight into an appropriations title.</w:t>
      </w:r>
    </w:p>
    <w:p>
      <w:pPr>
        <w:spacing w:after="110" w:before="0"/>
      </w:pPr>
      <w:r>
        <w:rPr>
          <w:rFonts w:ascii="Georgia" w:cs="Georgia" w:eastAsia="Georgia" w:hAnsi="Georgia"/>
          <w:b w:val="false"/>
          <w:bCs w:val="false"/>
          <w:i w:val="false"/>
          <w:iCs w:val="false"/>
          <w:color w:val="1A1A1A"/>
          <w:sz w:val="20"/>
          <w:szCs w:val="20"/>
        </w:rPr>
        <w:t xml:space="preserve">Where a bill did exist it went nowhere. The SEC political-contribution disclosure rule and the federal contractor disclosure requirement both trace to one measure, H.R. 4511, the Uncheck the Box Act — never reported. The FTC food-marketing-to-children report traces to H.R. 597 — never reported. The Surface Transportation Board fee cap traces to H.R. 666 — never reported.</w:t>
      </w:r>
    </w:p>
    <w:p>
      <w:pPr>
        <w:spacing w:after="60" w:before="210"/>
      </w:pPr>
      <w:r>
        <w:rPr>
          <w:rFonts w:ascii="Georgia" w:cs="Georgia" w:eastAsia="Georgia" w:hAnsi="Georgia"/>
          <w:b/>
          <w:bCs/>
          <w:color w:val="B5852F"/>
          <w:sz w:val="19"/>
          <w:szCs w:val="19"/>
        </w:rPr>
        <w:t xml:space="preserve">The citizen extenders: the bills exist, and they die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00"/>
        <w:gridCol w:w="1500"/>
        <w:gridCol w:w="1500"/>
        <w:gridCol w:w="1500"/>
        <w:gridCol w:w="1560"/>
      </w:tblGrid>
      <w:tr>
        <w:tc>
          <w:tcPr>
            <w:tcW w:type="dxa" w:w="3300"/>
            <w:shd w:fill="EDEFEA" w:color="auto" w:val="clear"/>
            <w:tcMar>
              <w:top w:type="dxa" w:w="44"/>
              <w:left w:type="dxa" w:w="84"/>
              <w:bottom w:type="dxa" w:w="44"/>
              <w:right w:type="dxa" w:w="84"/>
            </w:tcMar>
          </w:tcPr>
          <w:p>
            <w:pPr>
              <w:spacing w:after="0"/>
            </w:pPr>
            <w:r>
              <w:rPr>
                <w:rFonts w:ascii="Georgia" w:cs="Georgia" w:eastAsia="Georgia" w:hAnsi="Georgia"/>
                <w:b/>
                <w:bCs/>
                <w:i w:val="false"/>
                <w:iCs w:val="false"/>
                <w:color w:val="1A1A1A"/>
                <w:sz w:val="15"/>
                <w:szCs w:val="15"/>
              </w:rPr>
              <w:t xml:space="preserve">Policy, extended three times in one Congress</w:t>
            </w:r>
          </w:p>
        </w:tc>
        <w:tc>
          <w:tcPr>
            <w:tcW w:type="dxa" w:w="1500"/>
            <w:shd w:fill="EDEFEA" w:color="auto" w:val="clear"/>
            <w:tcMar>
              <w:top w:type="dxa" w:w="44"/>
              <w:left w:type="dxa" w:w="84"/>
              <w:bottom w:type="dxa" w:w="44"/>
              <w:right w:type="dxa" w:w="84"/>
            </w:tcMar>
          </w:tcPr>
          <w:p>
            <w:pPr>
              <w:spacing w:after="0"/>
            </w:pPr>
            <w:r>
              <w:rPr>
                <w:rFonts w:ascii="Georgia" w:cs="Georgia" w:eastAsia="Georgia" w:hAnsi="Georgia"/>
                <w:b/>
                <w:bCs/>
                <w:i w:val="false"/>
                <w:iCs w:val="false"/>
                <w:color w:val="1A1A1A"/>
                <w:sz w:val="15"/>
                <w:szCs w:val="15"/>
              </w:rPr>
              <w:t xml:space="preserve">Bills introduced</w:t>
            </w:r>
          </w:p>
        </w:tc>
        <w:tc>
          <w:tcPr>
            <w:tcW w:type="dxa" w:w="1500"/>
            <w:shd w:fill="EDEFEA" w:color="auto" w:val="clear"/>
            <w:tcMar>
              <w:top w:type="dxa" w:w="44"/>
              <w:left w:type="dxa" w:w="84"/>
              <w:bottom w:type="dxa" w:w="44"/>
              <w:right w:type="dxa" w:w="84"/>
            </w:tcMar>
          </w:tcPr>
          <w:p>
            <w:pPr>
              <w:spacing w:after="0"/>
            </w:pPr>
            <w:r>
              <w:rPr>
                <w:rFonts w:ascii="Georgia" w:cs="Georgia" w:eastAsia="Georgia" w:hAnsi="Georgia"/>
                <w:b/>
                <w:bCs/>
                <w:i w:val="false"/>
                <w:iCs w:val="false"/>
                <w:color w:val="1A1A1A"/>
                <w:sz w:val="15"/>
                <w:szCs w:val="15"/>
              </w:rPr>
              <w:t xml:space="preserve">Seeking permanence</w:t>
            </w:r>
          </w:p>
        </w:tc>
        <w:tc>
          <w:tcPr>
            <w:tcW w:type="dxa" w:w="1500"/>
            <w:shd w:fill="EDEFEA" w:color="auto" w:val="clear"/>
            <w:tcMar>
              <w:top w:type="dxa" w:w="44"/>
              <w:left w:type="dxa" w:w="84"/>
              <w:bottom w:type="dxa" w:w="44"/>
              <w:right w:type="dxa" w:w="84"/>
            </w:tcMar>
          </w:tcPr>
          <w:p>
            <w:pPr>
              <w:spacing w:after="0"/>
            </w:pPr>
            <w:r>
              <w:rPr>
                <w:rFonts w:ascii="Georgia" w:cs="Georgia" w:eastAsia="Georgia" w:hAnsi="Georgia"/>
                <w:b/>
                <w:bCs/>
                <w:i w:val="false"/>
                <w:iCs w:val="false"/>
                <w:color w:val="1A1A1A"/>
                <w:sz w:val="15"/>
                <w:szCs w:val="15"/>
              </w:rPr>
              <w:t xml:space="preserve">Reported</w:t>
            </w:r>
          </w:p>
        </w:tc>
        <w:tc>
          <w:tcPr>
            <w:tcW w:type="dxa" w:w="1560"/>
            <w:shd w:fill="EDEFEA" w:color="auto" w:val="clear"/>
            <w:tcMar>
              <w:top w:type="dxa" w:w="44"/>
              <w:left w:type="dxa" w:w="84"/>
              <w:bottom w:type="dxa" w:w="44"/>
              <w:right w:type="dxa" w:w="84"/>
            </w:tcMar>
          </w:tcPr>
          <w:p>
            <w:pPr>
              <w:spacing w:after="0"/>
            </w:pPr>
            <w:r>
              <w:rPr>
                <w:rFonts w:ascii="Georgia" w:cs="Georgia" w:eastAsia="Georgia" w:hAnsi="Georgia"/>
                <w:b/>
                <w:bCs/>
                <w:i w:val="false"/>
                <w:iCs w:val="false"/>
                <w:color w:val="1A1A1A"/>
                <w:sz w:val="15"/>
                <w:szCs w:val="15"/>
              </w:rPr>
              <w:t xml:space="preserve">Enacted</w:t>
            </w:r>
          </w:p>
        </w:tc>
      </w:tr>
      <w:tr>
        <w:tc>
          <w:tcPr>
            <w:tcW w:type="dxa" w:w="33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Telehealth flexibilities</w:t>
            </w:r>
          </w:p>
        </w:tc>
        <w:tc>
          <w:tcPr>
            <w:tcW w:type="dxa" w:w="15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41</w:t>
            </w:r>
          </w:p>
        </w:tc>
        <w:tc>
          <w:tcPr>
            <w:tcW w:type="dxa" w:w="15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14</w:t>
            </w:r>
          </w:p>
        </w:tc>
        <w:tc>
          <w:tcPr>
            <w:tcW w:type="dxa" w:w="15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3</w:t>
            </w:r>
          </w:p>
        </w:tc>
        <w:tc>
          <w:tcPr>
            <w:tcW w:type="dxa" w:w="156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1</w:t>
            </w:r>
          </w:p>
        </w:tc>
      </w:tr>
      <w:tr>
        <w:tc>
          <w:tcPr>
            <w:tcW w:type="dxa" w:w="33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Community health centers</w:t>
            </w:r>
          </w:p>
        </w:tc>
        <w:tc>
          <w:tcPr>
            <w:tcW w:type="dxa" w:w="15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4</w:t>
            </w:r>
          </w:p>
        </w:tc>
        <w:tc>
          <w:tcPr>
            <w:tcW w:type="dxa" w:w="15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0</w:t>
            </w:r>
          </w:p>
        </w:tc>
        <w:tc>
          <w:tcPr>
            <w:tcW w:type="dxa" w:w="15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0</w:t>
            </w:r>
          </w:p>
        </w:tc>
        <w:tc>
          <w:tcPr>
            <w:tcW w:type="dxa" w:w="156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0</w:t>
            </w:r>
          </w:p>
        </w:tc>
      </w:tr>
      <w:tr>
        <w:tc>
          <w:tcPr>
            <w:tcW w:type="dxa" w:w="33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Medicare-dependent hospital programme</w:t>
            </w:r>
          </w:p>
        </w:tc>
        <w:tc>
          <w:tcPr>
            <w:tcW w:type="dxa" w:w="15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2</w:t>
            </w:r>
          </w:p>
        </w:tc>
        <w:tc>
          <w:tcPr>
            <w:tcW w:type="dxa" w:w="15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1</w:t>
            </w:r>
          </w:p>
        </w:tc>
        <w:tc>
          <w:tcPr>
            <w:tcW w:type="dxa" w:w="15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0</w:t>
            </w:r>
          </w:p>
        </w:tc>
        <w:tc>
          <w:tcPr>
            <w:tcW w:type="dxa" w:w="156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0</w:t>
            </w:r>
          </w:p>
        </w:tc>
      </w:tr>
      <w:tr>
        <w:tc>
          <w:tcPr>
            <w:tcW w:type="dxa" w:w="33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Special diabetes programmes</w:t>
            </w:r>
          </w:p>
        </w:tc>
        <w:tc>
          <w:tcPr>
            <w:tcW w:type="dxa" w:w="15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3</w:t>
            </w:r>
          </w:p>
        </w:tc>
        <w:tc>
          <w:tcPr>
            <w:tcW w:type="dxa" w:w="15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0</w:t>
            </w:r>
          </w:p>
        </w:tc>
        <w:tc>
          <w:tcPr>
            <w:tcW w:type="dxa" w:w="15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0</w:t>
            </w:r>
          </w:p>
        </w:tc>
        <w:tc>
          <w:tcPr>
            <w:tcW w:type="dxa" w:w="156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0</w:t>
            </w:r>
          </w:p>
        </w:tc>
      </w:tr>
      <w:tr>
        <w:tc>
          <w:tcPr>
            <w:tcW w:type="dxa" w:w="33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Ambulance add-on payments</w:t>
            </w:r>
          </w:p>
        </w:tc>
        <w:tc>
          <w:tcPr>
            <w:tcW w:type="dxa" w:w="15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4</w:t>
            </w:r>
          </w:p>
        </w:tc>
        <w:tc>
          <w:tcPr>
            <w:tcW w:type="dxa" w:w="15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0</w:t>
            </w:r>
          </w:p>
        </w:tc>
        <w:tc>
          <w:tcPr>
            <w:tcW w:type="dxa" w:w="15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0</w:t>
            </w:r>
          </w:p>
        </w:tc>
        <w:tc>
          <w:tcPr>
            <w:tcW w:type="dxa" w:w="156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0</w:t>
            </w:r>
          </w:p>
        </w:tc>
      </w:tr>
    </w:tbl>
    <w:p>
      <w:pPr>
        <w:spacing w:after="110" w:before="120"/>
      </w:pPr>
      <w:r>
        <w:rPr>
          <w:rFonts w:ascii="Georgia" w:cs="Georgia" w:eastAsia="Georgia" w:hAnsi="Georgia"/>
          <w:b/>
          <w:bCs/>
          <w:i w:val="false"/>
          <w:iCs w:val="false"/>
          <w:color w:val="1A1A1A"/>
          <w:sz w:val="20"/>
          <w:szCs w:val="20"/>
        </w:rPr>
        <w:t xml:space="preserve">Fifty-four bills across five policies. Three were reported. One became law.</w:t>
      </w:r>
    </w:p>
    <w:p>
      <w:pPr>
        <w:spacing w:after="110" w:before="0"/>
      </w:pPr>
      <w:r>
        <w:rPr>
          <w:rFonts w:ascii="Georgia" w:cs="Georgia" w:eastAsia="Georgia" w:hAnsi="Georgia"/>
          <w:b w:val="false"/>
          <w:bCs w:val="false"/>
          <w:i w:val="false"/>
          <w:iCs w:val="false"/>
          <w:color w:val="1A1A1A"/>
          <w:sz w:val="20"/>
          <w:szCs w:val="20"/>
        </w:rPr>
        <w:t xml:space="preserve">Every one of these programmes stayed alive — but only as a temporary rider on somebody else's vehicle, renewed three times in twenty months. The committee with jurisdiction never reported a bill to make any of them permanent.</w:t>
      </w:r>
    </w:p>
    <w:p>
      <w:pPr>
        <w:pStyle w:val="Heading1"/>
        <w:spacing w:after="110" w:before="320"/>
      </w:pPr>
      <w:r>
        <w:rPr>
          <w:rFonts w:ascii="Georgia" w:cs="Georgia" w:eastAsia="Georgia" w:hAnsi="Georgia"/>
          <w:b/>
          <w:bCs/>
          <w:color w:val="356B4F"/>
          <w:sz w:val="25"/>
          <w:szCs w:val="25"/>
        </w:rPr>
        <w:t xml:space="preserve">The accounting rule</w:t>
      </w:r>
    </w:p>
    <w:p>
      <w:pPr>
        <w:spacing w:after="110" w:before="0"/>
      </w:pPr>
      <w:r>
        <w:rPr>
          <w:rFonts w:ascii="Georgia" w:cs="Georgia" w:eastAsia="Georgia" w:hAnsi="Georgia"/>
          <w:b/>
          <w:bCs/>
          <w:i w:val="false"/>
          <w:iCs w:val="false"/>
          <w:color w:val="1A1A1A"/>
          <w:sz w:val="21"/>
          <w:szCs w:val="21"/>
        </w:rPr>
        <w:t xml:space="preserve">A provision swept into an appropriations act is accounted for by what happened to the bill it came from.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00"/>
        <w:gridCol w:w="6260"/>
      </w:tblGrid>
      <w:tr>
        <w:tc>
          <w:tcPr>
            <w:tcW w:type="dxa" w:w="3100"/>
            <w:shd w:fill="EDEFEA" w:color="auto" w:val="clear"/>
            <w:tcMar>
              <w:top w:type="dxa" w:w="44"/>
              <w:left w:type="dxa" w:w="84"/>
              <w:bottom w:type="dxa" w:w="44"/>
              <w:right w:type="dxa" w:w="84"/>
            </w:tcMar>
          </w:tcPr>
          <w:p>
            <w:pPr>
              <w:spacing w:after="0"/>
            </w:pPr>
            <w:r>
              <w:rPr>
                <w:rFonts w:ascii="Georgia" w:cs="Georgia" w:eastAsia="Georgia" w:hAnsi="Georgia"/>
                <w:b/>
                <w:bCs/>
                <w:i w:val="false"/>
                <w:iCs w:val="false"/>
                <w:color w:val="1A1A1A"/>
                <w:sz w:val="15"/>
                <w:szCs w:val="15"/>
              </w:rPr>
              <w:t xml:space="preserve">Origin of the provision</w:t>
            </w:r>
          </w:p>
        </w:tc>
        <w:tc>
          <w:tcPr>
            <w:tcW w:type="dxa" w:w="6260"/>
            <w:shd w:fill="EDEFEA" w:color="auto" w:val="clear"/>
            <w:tcMar>
              <w:top w:type="dxa" w:w="44"/>
              <w:left w:type="dxa" w:w="84"/>
              <w:bottom w:type="dxa" w:w="44"/>
              <w:right w:type="dxa" w:w="84"/>
            </w:tcMar>
          </w:tcPr>
          <w:p>
            <w:pPr>
              <w:spacing w:after="0"/>
            </w:pPr>
            <w:r>
              <w:rPr>
                <w:rFonts w:ascii="Georgia" w:cs="Georgia" w:eastAsia="Georgia" w:hAnsi="Georgia"/>
                <w:b/>
                <w:bCs/>
                <w:i w:val="false"/>
                <w:iCs w:val="false"/>
                <w:color w:val="1A1A1A"/>
                <w:sz w:val="15"/>
                <w:szCs w:val="15"/>
              </w:rPr>
              <w:t xml:space="preserve">How it is accounted</w:t>
            </w:r>
          </w:p>
        </w:tc>
      </w:tr>
      <w:tr>
        <w:tc>
          <w:tcPr>
            <w:tcW w:type="dxa" w:w="31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A standalone bill the committee reported</w:t>
            </w:r>
          </w:p>
        </w:tc>
        <w:tc>
          <w:tcPr>
            <w:tcW w:type="dxa" w:w="626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The committee's own output. Credit or blame it, as now.</w:t>
            </w:r>
          </w:p>
        </w:tc>
      </w:tr>
      <w:tr>
        <w:tc>
          <w:tcPr>
            <w:tcW w:type="dxa" w:w="31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A standalone bill that died in the committee of jurisdiction</w:t>
            </w:r>
          </w:p>
        </w:tc>
        <w:tc>
          <w:tcPr>
            <w:tcW w:type="dxa" w:w="626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The committee stalled it and it became law anyway. A bypass. Under the standing rule, capture attaches to the committee that stalled — and the provision is recorded as a bypass event, not as that committee's product.</w:t>
            </w:r>
          </w:p>
        </w:tc>
      </w:tr>
      <w:tr>
        <w:tc>
          <w:tcPr>
            <w:tcW w:type="dxa" w:w="310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No standalone bill anywhere in the Congress</w:t>
            </w:r>
          </w:p>
        </w:tc>
        <w:tc>
          <w:tcPr>
            <w:tcW w:type="dxa" w:w="6260"/>
            <w:shd w:fill="FFFFFF" w:color="auto" w:val="clear"/>
            <w:tcMar>
              <w:top w:type="dxa" w:w="44"/>
              <w:left w:type="dxa" w:w="84"/>
              <w:bottom w:type="dxa" w:w="44"/>
              <w:right w:type="dxa" w:w="84"/>
            </w:tcMar>
          </w:tcPr>
          <w:p>
            <w:pPr>
              <w:spacing w:after="0"/>
            </w:pPr>
            <w:r>
              <w:rPr>
                <w:rFonts w:ascii="Georgia" w:cs="Georgia" w:eastAsia="Georgia" w:hAnsi="Georgia"/>
                <w:b w:val="false"/>
                <w:bCs w:val="false"/>
                <w:i w:val="false"/>
                <w:iCs w:val="false"/>
                <w:color w:val="1A1A1A"/>
                <w:sz w:val="15"/>
                <w:szCs w:val="15"/>
              </w:rPr>
              <w:t xml:space="preserve">Drafted directly into the appropriations text. It is the Appropriations Committee's own product and attributes there.</w:t>
            </w:r>
          </w:p>
        </w:tc>
      </w:tr>
    </w:tbl>
    <w:p>
      <w:pPr>
        <w:spacing w:after="110" w:before="110"/>
      </w:pPr>
      <w:r>
        <w:rPr>
          <w:rFonts w:ascii="Georgia" w:cs="Georgia" w:eastAsia="Georgia" w:hAnsi="Georgia"/>
          <w:b w:val="false"/>
          <w:bCs w:val="false"/>
          <w:i/>
          <w:iCs/>
          <w:color w:val="5A5A5A"/>
          <w:sz w:val="18"/>
          <w:szCs w:val="18"/>
        </w:rPr>
        <w:t xml:space="preserve">This is your existing rule applied to a place we had not applied it: capture attaches to the committee that stalled a bill, credit to the one that moved it. Nothing new is being invented.</w:t>
      </w:r>
    </w:p>
    <w:p>
      <w:pPr>
        <w:pStyle w:val="Heading1"/>
        <w:spacing w:after="110" w:before="320"/>
      </w:pPr>
      <w:r>
        <w:rPr>
          <w:rFonts w:ascii="Georgia" w:cs="Georgia" w:eastAsia="Georgia" w:hAnsi="Georgia"/>
          <w:b/>
          <w:bCs/>
          <w:color w:val="356B4F"/>
          <w:sz w:val="25"/>
          <w:szCs w:val="25"/>
        </w:rPr>
        <w:t xml:space="preserve">What it does to the citizen count</w:t>
      </w:r>
    </w:p>
    <w:p>
      <w:pPr>
        <w:spacing w:after="110" w:before="0"/>
      </w:pPr>
      <w:r>
        <w:rPr>
          <w:rFonts w:ascii="Georgia" w:cs="Georgia" w:eastAsia="Georgia" w:hAnsi="Georgia"/>
          <w:b/>
          <w:bCs/>
          <w:i w:val="false"/>
          <w:iCs w:val="false"/>
          <w:color w:val="1A1A1A"/>
          <w:sz w:val="21"/>
          <w:szCs w:val="21"/>
        </w:rPr>
        <w:t xml:space="preserve">It inverts the meaning of the number you were suspicious of.</w:t>
      </w:r>
    </w:p>
    <w:p>
      <w:pPr>
        <w:spacing w:after="110" w:before="0"/>
      </w:pPr>
      <w:r>
        <w:rPr>
          <w:rFonts w:ascii="Georgia" w:cs="Georgia" w:eastAsia="Georgia" w:hAnsi="Georgia"/>
          <w:b w:val="false"/>
          <w:bCs w:val="false"/>
          <w:i w:val="false"/>
          <w:iCs w:val="false"/>
          <w:color w:val="1A1A1A"/>
          <w:sz w:val="20"/>
          <w:szCs w:val="20"/>
        </w:rPr>
        <w:t xml:space="preserve">Forty-nine distinct citizen policies were re-enacted eighty-four times in this Congress. Counted as items, that reads as eighty-four citizen actions. Traced back, it is forty-nine policies that the committees of jurisdiction declined to make permanent, kept alive on the appropriations vehicle because the authorising route was closed.</w:t>
      </w:r>
    </w:p>
    <w:p>
      <w:pPr>
        <w:spacing w:after="110" w:before="0"/>
      </w:pPr>
      <w:r>
        <w:rPr>
          <w:rFonts w:ascii="Georgia" w:cs="Georgia" w:eastAsia="Georgia" w:hAnsi="Georgia"/>
          <w:b/>
          <w:bCs/>
          <w:i w:val="false"/>
          <w:iCs w:val="false"/>
          <w:color w:val="9B2C2C"/>
          <w:sz w:val="20"/>
          <w:szCs w:val="20"/>
        </w:rPr>
        <w:t xml:space="preserve">Each re-extension is evidence of a committee not acting. It is not a citizen win. It is the receipt for one that did not happen.</w:t>
      </w:r>
    </w:p>
    <w:p>
      <w:pPr>
        <w:spacing w:after="110" w:before="0"/>
      </w:pPr>
      <w:r>
        <w:rPr>
          <w:rFonts w:ascii="Georgia" w:cs="Georgia" w:eastAsia="Georgia" w:hAnsi="Georgia"/>
          <w:b w:val="false"/>
          <w:bCs w:val="false"/>
          <w:i w:val="false"/>
          <w:iCs w:val="false"/>
          <w:color w:val="1A1A1A"/>
          <w:sz w:val="20"/>
          <w:szCs w:val="20"/>
        </w:rPr>
        <w:t xml:space="preserve">So the correct treatment in criterion 04 is not to count the extension. It is to count the stall — once, against the committee that would not report the bill — and to record the number of times the policy had to be rescued as a measure of how hard that committee is making people work for the same ground.</w:t>
      </w:r>
    </w:p>
    <w:p>
      <w:pPr>
        <w:pStyle w:val="Heading1"/>
        <w:spacing w:after="110" w:before="320"/>
      </w:pPr>
      <w:r>
        <w:rPr>
          <w:rFonts w:ascii="Georgia" w:cs="Georgia" w:eastAsia="Georgia" w:hAnsi="Georgia"/>
          <w:b/>
          <w:bCs/>
          <w:color w:val="356B4F"/>
          <w:sz w:val="25"/>
          <w:szCs w:val="25"/>
        </w:rPr>
        <w:t xml:space="preserve">Three changes</w:t>
      </w:r>
    </w:p>
    <w:p>
      <w:pPr>
        <w:spacing w:after="60" w:before="210"/>
      </w:pPr>
      <w:r>
        <w:rPr>
          <w:rFonts w:ascii="Georgia" w:cs="Georgia" w:eastAsia="Georgia" w:hAnsi="Georgia"/>
          <w:b/>
          <w:bCs/>
          <w:color w:val="B5852F"/>
          <w:sz w:val="19"/>
          <w:szCs w:val="19"/>
        </w:rPr>
        <w:t xml:space="preserve">1. Unpack the vehicles on the page</w:t>
      </w:r>
    </w:p>
    <w:p>
      <w:pPr>
        <w:spacing w:after="110" w:before="0"/>
      </w:pPr>
      <w:r>
        <w:rPr>
          <w:rFonts w:ascii="Georgia" w:cs="Georgia" w:eastAsia="Georgia" w:hAnsi="Georgia"/>
          <w:b w:val="false"/>
          <w:bCs w:val="false"/>
          <w:i w:val="false"/>
          <w:iCs w:val="false"/>
          <w:color w:val="1A1A1A"/>
          <w:sz w:val="20"/>
          <w:szCs w:val="20"/>
        </w:rPr>
        <w:t xml:space="preserve">The Stewardship tile should say what it now says — 103 enacted laws — and then say that six of them are appropriations vehicles carrying 298 further coded provisions, with the capital and citizen counts for those shown separately. Six line items carrying more capital action than the other ninety-seven laws is the finding, and it is currently invisible.</w:t>
      </w:r>
    </w:p>
    <w:p>
      <w:pPr>
        <w:spacing w:after="60" w:before="210"/>
      </w:pPr>
      <w:r>
        <w:rPr>
          <w:rFonts w:ascii="Georgia" w:cs="Georgia" w:eastAsia="Georgia" w:hAnsi="Georgia"/>
          <w:b/>
          <w:bCs/>
          <w:color w:val="B5852F"/>
          <w:sz w:val="19"/>
          <w:szCs w:val="19"/>
        </w:rPr>
        <w:t xml:space="preserve">2. Report 42 rules killed, not 22</w:t>
      </w:r>
    </w:p>
    <w:p>
      <w:pPr>
        <w:spacing w:after="110" w:before="0"/>
      </w:pPr>
      <w:r>
        <w:rPr>
          <w:rFonts w:ascii="Georgia" w:cs="Georgia" w:eastAsia="Georgia" w:hAnsi="Georgia"/>
          <w:b w:val="false"/>
          <w:bCs w:val="false"/>
          <w:i w:val="false"/>
          <w:iCs w:val="false"/>
          <w:color w:val="1A1A1A"/>
          <w:sz w:val="20"/>
          <w:szCs w:val="20"/>
        </w:rPr>
        <w:t xml:space="preserve">The twenty-two disapprovals and the twenty rider kills do the same thing by different means. The disapproval is permanent and public; the rider is annual and silent. Both belong in the count, labelled by mechanism.</w:t>
      </w:r>
    </w:p>
    <w:p>
      <w:pPr>
        <w:spacing w:after="60" w:before="210"/>
      </w:pPr>
      <w:r>
        <w:rPr>
          <w:rFonts w:ascii="Georgia" w:cs="Georgia" w:eastAsia="Georgia" w:hAnsi="Georgia"/>
          <w:b/>
          <w:bCs/>
          <w:color w:val="B5852F"/>
          <w:sz w:val="19"/>
          <w:szCs w:val="19"/>
        </w:rPr>
        <w:t xml:space="preserve">3. Criterion 04 counts the stall, not the extension</w:t>
      </w:r>
    </w:p>
    <w:p>
      <w:pPr>
        <w:spacing w:after="110" w:before="0"/>
      </w:pPr>
      <w:r>
        <w:rPr>
          <w:rFonts w:ascii="Georgia" w:cs="Georgia" w:eastAsia="Georgia" w:hAnsi="Georgia"/>
          <w:b w:val="false"/>
          <w:bCs w:val="false"/>
          <w:i w:val="false"/>
          <w:iCs w:val="false"/>
          <w:color w:val="1A1A1A"/>
          <w:sz w:val="20"/>
          <w:szCs w:val="20"/>
        </w:rPr>
        <w:t xml:space="preserve">A provision extended three times is one policy and three failures to authorise it. Counting it three times on the citizen side is the single largest distortion in the measure, and it flatters exactly the committees that are refusing to legislate.</w:t>
      </w:r>
    </w:p>
    <w:p>
      <w:pPr>
        <w:spacing w:after="110" w:before="220"/>
      </w:pPr>
      <w:r>
        <w:rPr>
          <w:rFonts w:ascii="Georgia" w:cs="Georgia" w:eastAsia="Georgia" w:hAnsi="Georgia"/>
          <w:b w:val="false"/>
          <w:bCs w:val="false"/>
          <w:i/>
          <w:iCs/>
          <w:color w:val="5A5A5A"/>
          <w:sz w:val="15"/>
          <w:szCs w:val="15"/>
        </w:rPr>
        <w:t xml:space="preserve">Sources: govinfo BILLSTATUS bulk data for the 119th Congress, all 16,090 measures in the H.R., S., H.J.Res. and S.J.Res. series, with titles, CRS summaries, committee referrals and full action histories · full text of P.L. 119-4, 119-37, 119-74, 119-75, 119-86 and H.R. 6500 enrolled · CL-007 beneficiary coding of the 103 enacted public laws · 153 extender provisions and 251 limitation riders extracted from the appropriations acts and coded under Follow the Asset, re-audited 7 September 2026. Every count is a count of the enacted text or of the public bill record.</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2026-09-07T17:58:07.210Z</dcterms:created>
  <dcterms:modified xsi:type="dcterms:W3CDTF">2026-09-07T17:58:07.216Z</dcterms:modified>
</cp:coreProperties>
</file>

<file path=docProps/custom.xml><?xml version="1.0" encoding="utf-8"?>
<Properties xmlns="http://schemas.openxmlformats.org/officeDocument/2006/custom-properties" xmlns:vt="http://schemas.openxmlformats.org/officeDocument/2006/docPropsVTypes"/>
</file>